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b w:val="1"/>
          <w:bCs w:val="1"/>
          <w:sz w:val="24"/>
          <w:szCs w:val="24"/>
          <w:rtl w:val="0"/>
          <w:lang w:val="en-US"/>
        </w:rPr>
        <w:t>THCVS Annual General Meeting 2024</w:t>
      </w:r>
      <w:r>
        <w:br w:type="textWrapping"/>
      </w:r>
      <w:r>
        <w:rPr>
          <w:rFonts w:ascii="Trebuchet MS" w:hAnsi="Trebuchet MS"/>
          <w:sz w:val="24"/>
          <w:szCs w:val="24"/>
          <w:rtl w:val="0"/>
          <w:lang w:val="en-US"/>
        </w:rPr>
        <w:t>5 June 2025, 4.30 - 6.00pm, St Hilda's East Community Centre.</w:t>
      </w:r>
    </w:p>
    <w:p>
      <w:pPr>
        <w:pStyle w:val="Body A"/>
      </w:pPr>
      <w:r>
        <w:rPr>
          <w:rFonts w:ascii="Trebuchet MS" w:hAnsi="Trebuchet MS"/>
          <w:b w:val="1"/>
          <w:bCs w:val="1"/>
          <w:sz w:val="32"/>
          <w:szCs w:val="32"/>
          <w:rtl w:val="0"/>
          <w:lang w:val="en-US"/>
        </w:rPr>
        <w:t>Proxy voting form</w:t>
      </w:r>
    </w:p>
    <w:p>
      <w:pPr>
        <w:pStyle w:val="Body A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 xml:space="preserve">This form must be submitted to THCVS by the deadline of </w:t>
      </w:r>
      <w:r>
        <w:rPr>
          <w:rFonts w:ascii="Trebuchet MS" w:hAnsi="Trebuchet MS"/>
          <w:b w:val="1"/>
          <w:bCs w:val="1"/>
          <w:sz w:val="24"/>
          <w:szCs w:val="24"/>
          <w:rtl w:val="0"/>
          <w:lang w:val="en-US"/>
        </w:rPr>
        <w:t>4.00pm Wednesday 4 June 2025.</w:t>
      </w:r>
    </w:p>
    <w:p>
      <w:pPr>
        <w:pStyle w:val="Body A"/>
        <w:spacing w:line="480" w:lineRule="auto"/>
      </w:pPr>
      <w:r>
        <w:rPr>
          <w:rFonts w:ascii="Trebuchet MS" w:hAnsi="Trebuchet MS"/>
          <w:sz w:val="24"/>
          <w:szCs w:val="24"/>
          <w:rtl w:val="0"/>
          <w:lang w:val="en-US"/>
        </w:rPr>
        <w:t>I ____________________________________________________ (name of member)</w:t>
      </w:r>
    </w:p>
    <w:p>
      <w:pPr>
        <w:pStyle w:val="Body A"/>
        <w:spacing w:line="480" w:lineRule="auto"/>
      </w:pPr>
      <w:r>
        <w:rPr>
          <w:rFonts w:ascii="Trebuchet MS" w:hAnsi="Trebuchet MS"/>
          <w:sz w:val="24"/>
          <w:szCs w:val="24"/>
          <w:rtl w:val="0"/>
          <w:lang w:val="en-US"/>
        </w:rPr>
        <w:t>of __________________________________________________ (organisation name)</w:t>
      </w:r>
    </w:p>
    <w:p>
      <w:pPr>
        <w:pStyle w:val="Body A"/>
        <w:spacing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b w:val="1"/>
          <w:bCs w:val="1"/>
          <w:sz w:val="24"/>
          <w:szCs w:val="24"/>
          <w:rtl w:val="0"/>
          <w:lang w:val="en-US"/>
        </w:rPr>
        <w:t xml:space="preserve">hereby appoint </w:t>
      </w:r>
      <w:r>
        <w:rPr>
          <w:rFonts w:ascii="Trebuchet MS" w:hAnsi="Trebuchet MS"/>
          <w:sz w:val="24"/>
          <w:szCs w:val="24"/>
          <w:rtl w:val="0"/>
          <w:lang w:val="en-US"/>
        </w:rPr>
        <w:t xml:space="preserve">_______________________________________ (name of proxy) </w:t>
      </w:r>
      <w:r>
        <w:br w:type="textWrapping"/>
      </w:r>
      <w:r>
        <w:rPr>
          <w:rFonts w:ascii="Trebuchet MS" w:hAnsi="Trebuchet MS"/>
          <w:sz w:val="24"/>
          <w:szCs w:val="24"/>
          <w:rtl w:val="0"/>
          <w:lang w:val="en-US"/>
        </w:rPr>
        <w:t>to vote for me/us at the Annual General Meeting to be held on the 5 June 2025.</w: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This form is to be used in respect of the resolutions:           For</w:t>
      </w:r>
      <w:r>
        <w:tab/>
      </w:r>
      <w:r>
        <w:rPr>
          <w:rFonts w:ascii="Trebuchet MS" w:hAnsi="Trebuchet MS"/>
          <w:sz w:val="24"/>
          <w:szCs w:val="24"/>
          <w:rtl w:val="0"/>
          <w:lang w:val="en-US"/>
        </w:rPr>
        <w:t xml:space="preserve">          Against</w: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I approve the minutes of the last THCVS AGM</w:t>
      </w:r>
      <w:r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2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Re-election of Zoe Eccles</w:t>
      </w:r>
      <w:r>
        <w:tab/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Re-election of Chris Ley</w:t>
      </w:r>
      <w:r>
        <w:tab/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0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1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Re-election of Selina Uddin</w:t>
      </w:r>
      <w:r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2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3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16"/>
          <w:szCs w:val="16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Election of Femi Akindeji</w:t>
      </w:r>
      <w:r>
        <w:tab/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4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Election of Dayna Ambris</w:t>
      </w:r>
      <w:r>
        <w:tab/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rPr>
          <w:rFonts w:ascii="Trebuchet MS" w:cs="Trebuchet MS" w:hAnsi="Trebuchet MS" w:eastAsia="Trebuchet MS"/>
          <w:sz w:val="16"/>
          <w:szCs w:val="16"/>
        </w:rPr>
      </w:pPr>
      <w:r>
        <w:rPr>
          <w:rFonts w:ascii="Trebuchet MS" w:hAnsi="Trebuchet MS"/>
          <w:sz w:val="24"/>
          <w:szCs w:val="24"/>
          <w:rtl w:val="0"/>
          <w:lang w:val="en-US"/>
        </w:rPr>
        <w:t>Election of Michael Omolola</w:t>
      </w:r>
      <w:r>
        <w:tab/>
        <w:tab/>
        <w:tab/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tab/>
        <w:tab/>
      </w:r>
      <w:r>
        <mc:AlternateContent>
          <mc:Choice Requires="wps">
            <w:drawing xmlns:a="http://schemas.openxmlformats.org/drawingml/2006/main">
              <wp:inline distT="0" distB="0" distL="0" distR="0">
                <wp:extent cx="190500" cy="213591"/>
                <wp:effectExtent l="0" t="0" r="0" b="0"/>
                <wp:docPr id="107374183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9" style="visibility:visible;width:15.0pt;height:16.8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 A"/>
        <w:spacing w:after="0" w:line="480" w:lineRule="auto"/>
        <w:ind w:firstLine="720"/>
        <w:rPr>
          <w:rFonts w:ascii="Trebuchet MS" w:cs="Trebuchet MS" w:hAnsi="Trebuchet MS" w:eastAsia="Trebuchet MS"/>
          <w:sz w:val="16"/>
          <w:szCs w:val="16"/>
        </w:rPr>
      </w:pPr>
      <w:r>
        <w:br w:type="textWrapping"/>
      </w:r>
      <w:r>
        <w:rPr>
          <w:rFonts w:ascii="Trebuchet MS" w:hAnsi="Trebuchet MS"/>
          <w:sz w:val="24"/>
          <w:szCs w:val="24"/>
          <w:rtl w:val="0"/>
          <w:lang w:val="en-US"/>
        </w:rPr>
        <w:t>Signed:   __________________________________________ (signature of member)</w:t>
      </w:r>
      <w:r>
        <w:br w:type="textWrapping"/>
      </w:r>
    </w:p>
    <w:p>
      <w:pPr>
        <w:pStyle w:val="Body A"/>
      </w:pPr>
      <w:r>
        <w:rPr>
          <w:rFonts w:ascii="Trebuchet MS" w:hAnsi="Trebuchet MS"/>
          <w:sz w:val="24"/>
          <w:szCs w:val="24"/>
          <w:rtl w:val="0"/>
          <w:lang w:val="en-US"/>
        </w:rPr>
        <w:t xml:space="preserve">Print:      _________________________________________ (name of member) </w:t>
      </w:r>
    </w:p>
    <w:p>
      <w:pPr>
        <w:pStyle w:val="Body A"/>
        <w:rPr>
          <w:sz w:val="16"/>
          <w:szCs w:val="16"/>
        </w:rPr>
      </w:pP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 A"/>
      </w:pPr>
      <w:r>
        <w:rPr>
          <w:rFonts w:ascii="Trebuchet MS" w:hAnsi="Trebuchet MS"/>
          <w:b w:val="1"/>
          <w:bCs w:val="1"/>
          <w:rtl w:val="0"/>
          <w:lang w:val="en-US"/>
        </w:rPr>
        <w:t xml:space="preserve">Complete all the sections and return the form to: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"mailto:info@thcvs.org.uk"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info@thcvs.org.uk</w:t>
      </w:r>
      <w:r>
        <w:rPr/>
        <w:fldChar w:fldCharType="end" w:fldLock="0"/>
      </w:r>
      <w:r>
        <w:rPr>
          <w:rStyle w:val="None"/>
          <w:rFonts w:ascii="Trebuchet MS" w:hAnsi="Trebuchet MS"/>
          <w:rtl w:val="0"/>
          <w:lang w:val="en-US"/>
        </w:rPr>
        <w:t xml:space="preserve"> or to the THCVS office at St Hilda's East Community Centre, 18 Club Row, London E2 7EY.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right"/>
    </w:pPr>
    <w:r>
      <w:drawing xmlns:a="http://schemas.openxmlformats.org/drawingml/2006/main">
        <wp:inline distT="0" distB="0" distL="0" distR="0">
          <wp:extent cx="1981200" cy="787400"/>
          <wp:effectExtent l="0" t="0" r="0" b="0"/>
          <wp:docPr id="1073741825" name="officeArt object" descr="Description: Description: Description: THCVS-logo-CMYK-outlin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tion: Description: Description: THCVS-logo-CMYK-outlines" descr="Description: Description: Description: THCVS-logo-CMYK-outline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rebuchet MS" w:cs="Trebuchet MS" w:hAnsi="Trebuchet MS" w:eastAsia="Trebuchet MS"/>
      <w:strike w:val="0"/>
      <w:dstrike w:val="0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